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DA1" w14:textId="77777777" w:rsidR="00D758B3" w:rsidRPr="00225901" w:rsidRDefault="00D758B3" w:rsidP="00603CB8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256136">
        <w:rPr>
          <w:rFonts w:eastAsia="Times New Roman" w:cstheme="minorHAnsi"/>
          <w:b/>
          <w:bCs/>
          <w:color w:val="000000"/>
          <w:sz w:val="32"/>
          <w:szCs w:val="32"/>
        </w:rPr>
        <w:t xml:space="preserve">Official Delegations as of 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>January</w:t>
      </w:r>
      <w:r w:rsidR="00BD740F">
        <w:rPr>
          <w:rFonts w:eastAsia="Times New Roman" w:cstheme="minorHAnsi" w:hint="cs"/>
          <w:b/>
          <w:bCs/>
          <w:color w:val="000000"/>
          <w:sz w:val="32"/>
          <w:szCs w:val="32"/>
          <w:rtl/>
        </w:rPr>
        <w:t xml:space="preserve"> </w:t>
      </w:r>
      <w:r w:rsidR="00BD740F">
        <w:rPr>
          <w:rFonts w:eastAsia="Times New Roman" w:cstheme="minorHAnsi"/>
          <w:b/>
          <w:bCs/>
          <w:color w:val="000000"/>
          <w:sz w:val="32"/>
          <w:szCs w:val="32"/>
        </w:rPr>
        <w:t>and February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 xml:space="preserve"> 202</w:t>
      </w:r>
      <w:r w:rsidR="00603CB8">
        <w:rPr>
          <w:rFonts w:eastAsia="Times New Roman" w:cstheme="minorHAnsi"/>
          <w:b/>
          <w:bCs/>
          <w:color w:val="000000"/>
          <w:sz w:val="32"/>
          <w:szCs w:val="32"/>
        </w:rPr>
        <w:t>5</w:t>
      </w:r>
    </w:p>
    <w:p w14:paraId="39B020AA" w14:textId="77777777" w:rsidR="0095101D" w:rsidRDefault="0095101D" w:rsidP="00D758B3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63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231"/>
        <w:gridCol w:w="1440"/>
        <w:gridCol w:w="1170"/>
        <w:gridCol w:w="2160"/>
        <w:gridCol w:w="1620"/>
        <w:gridCol w:w="1300"/>
        <w:gridCol w:w="3560"/>
        <w:gridCol w:w="2250"/>
      </w:tblGrid>
      <w:tr w:rsidR="00077D76" w:rsidRPr="0090713F" w14:paraId="4C54AB2A" w14:textId="77777777" w:rsidTr="001E71F6">
        <w:trPr>
          <w:trHeight w:val="900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34E1F82B" w14:textId="77777777" w:rsidR="00AC323D" w:rsidRPr="00225901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2259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2231" w:type="dxa"/>
            <w:shd w:val="clear" w:color="auto" w:fill="95B3D7" w:themeFill="accent1" w:themeFillTint="99"/>
            <w:noWrap/>
            <w:vAlign w:val="center"/>
            <w:hideMark/>
          </w:tcPr>
          <w:p w14:paraId="5BFA5E5D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440" w:type="dxa"/>
            <w:shd w:val="clear" w:color="auto" w:fill="95B3D7" w:themeFill="accent1" w:themeFillTint="99"/>
            <w:vAlign w:val="center"/>
            <w:hideMark/>
          </w:tcPr>
          <w:p w14:paraId="2F030056" w14:textId="240F319D" w:rsidR="00AC323D" w:rsidRPr="0090713F" w:rsidRDefault="002E11D2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F</w:t>
            </w:r>
            <w:r w:rsidR="00AC323D"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unctional address</w:t>
            </w:r>
          </w:p>
        </w:tc>
        <w:tc>
          <w:tcPr>
            <w:tcW w:w="1170" w:type="dxa"/>
            <w:shd w:val="clear" w:color="auto" w:fill="95B3D7" w:themeFill="accent1" w:themeFillTint="99"/>
            <w:vAlign w:val="center"/>
            <w:hideMark/>
          </w:tcPr>
          <w:p w14:paraId="2130A1F6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2259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shd w:val="clear" w:color="auto" w:fill="95B3D7" w:themeFill="accent1" w:themeFillTint="99"/>
            <w:vAlign w:val="center"/>
            <w:hideMark/>
          </w:tcPr>
          <w:p w14:paraId="61C20F1D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number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&amp;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14:paraId="6CCAC6F1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Execution date</w:t>
            </w:r>
          </w:p>
        </w:tc>
        <w:tc>
          <w:tcPr>
            <w:tcW w:w="1300" w:type="dxa"/>
            <w:shd w:val="clear" w:color="auto" w:fill="95B3D7" w:themeFill="accent1" w:themeFillTint="99"/>
            <w:vAlign w:val="center"/>
            <w:hideMark/>
          </w:tcPr>
          <w:p w14:paraId="3A3EEB9C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560" w:type="dxa"/>
            <w:shd w:val="clear" w:color="auto" w:fill="95B3D7" w:themeFill="accent1" w:themeFillTint="99"/>
            <w:vAlign w:val="center"/>
            <w:hideMark/>
          </w:tcPr>
          <w:p w14:paraId="1AE1946B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subject</w:t>
            </w:r>
          </w:p>
        </w:tc>
        <w:tc>
          <w:tcPr>
            <w:tcW w:w="2250" w:type="dxa"/>
            <w:shd w:val="clear" w:color="auto" w:fill="95B3D7" w:themeFill="accent1" w:themeFillTint="99"/>
            <w:vAlign w:val="center"/>
            <w:hideMark/>
          </w:tcPr>
          <w:p w14:paraId="5B07910E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costs</w:t>
            </w:r>
          </w:p>
        </w:tc>
      </w:tr>
      <w:tr w:rsidR="00077D76" w:rsidRPr="0090713F" w14:paraId="1A2004C5" w14:textId="77777777" w:rsidTr="001E71F6">
        <w:trPr>
          <w:trHeight w:val="1145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6737455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1" w:type="dxa"/>
            <w:vMerge w:val="restart"/>
            <w:noWrap/>
            <w:vAlign w:val="center"/>
            <w:hideMark/>
          </w:tcPr>
          <w:p w14:paraId="4E6D228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ALI Muhsen Isamaiel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14:paraId="4BD381A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170" w:type="dxa"/>
            <w:vAlign w:val="center"/>
            <w:hideMark/>
          </w:tcPr>
          <w:p w14:paraId="0C216B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160" w:type="dxa"/>
            <w:vAlign w:val="center"/>
            <w:hideMark/>
          </w:tcPr>
          <w:p w14:paraId="79274361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(22/746) (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327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14:paraId="7250CD8E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vAlign w:val="center"/>
            <w:hideMark/>
          </w:tcPr>
          <w:p w14:paraId="20EAC1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6909D6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560" w:type="dxa"/>
            <w:vAlign w:val="center"/>
            <w:hideMark/>
          </w:tcPr>
          <w:p w14:paraId="39673C79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The first quarterly meeting of 2025 with the Federal Reserve and the US Treasury</w:t>
            </w:r>
          </w:p>
        </w:tc>
        <w:tc>
          <w:tcPr>
            <w:tcW w:w="2250" w:type="dxa"/>
            <w:noWrap/>
            <w:vAlign w:val="center"/>
            <w:hideMark/>
          </w:tcPr>
          <w:p w14:paraId="4887BB0F" w14:textId="43308979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="001E71F6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all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 cost</w:t>
            </w:r>
          </w:p>
        </w:tc>
      </w:tr>
      <w:tr w:rsidR="00077D76" w:rsidRPr="0090713F" w14:paraId="5C478669" w14:textId="77777777" w:rsidTr="001E71F6">
        <w:trPr>
          <w:trHeight w:val="143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5963B6A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6162401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11427B8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3E894EC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160" w:type="dxa"/>
            <w:vAlign w:val="center"/>
            <w:hideMark/>
          </w:tcPr>
          <w:p w14:paraId="349FB0E9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(22/818) (353)</w:t>
            </w:r>
          </w:p>
          <w:p w14:paraId="6D52B036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4/2/2025</w:t>
            </w:r>
          </w:p>
        </w:tc>
        <w:tc>
          <w:tcPr>
            <w:tcW w:w="1620" w:type="dxa"/>
            <w:vAlign w:val="center"/>
            <w:hideMark/>
          </w:tcPr>
          <w:p w14:paraId="183EF2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41DA3A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560" w:type="dxa"/>
            <w:vAlign w:val="center"/>
            <w:hideMark/>
          </w:tcPr>
          <w:p w14:paraId="6C04A65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250" w:type="dxa"/>
            <w:noWrap/>
            <w:vAlign w:val="center"/>
            <w:hideMark/>
          </w:tcPr>
          <w:p w14:paraId="096E0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179BA5D1" w14:textId="77777777" w:rsidTr="001E71F6">
        <w:trPr>
          <w:trHeight w:val="107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3EFC56C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719A6BC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4C24CC4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14:paraId="3ABE126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160" w:type="dxa"/>
            <w:vAlign w:val="center"/>
            <w:hideMark/>
          </w:tcPr>
          <w:p w14:paraId="28D55D0D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(22/552) (241)</w:t>
            </w:r>
          </w:p>
          <w:p w14:paraId="1C5F8ED2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18F6D2A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4FFB10C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560" w:type="dxa"/>
            <w:vAlign w:val="center"/>
            <w:hideMark/>
          </w:tcPr>
          <w:p w14:paraId="6DBF752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250" w:type="dxa"/>
            <w:noWrap/>
            <w:vAlign w:val="center"/>
            <w:hideMark/>
          </w:tcPr>
          <w:p w14:paraId="64FEA20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5558D04D" w14:textId="77777777" w:rsidTr="001E71F6">
        <w:trPr>
          <w:trHeight w:val="1073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4934F54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1" w:type="dxa"/>
            <w:vMerge w:val="restart"/>
            <w:noWrap/>
            <w:vAlign w:val="center"/>
            <w:hideMark/>
          </w:tcPr>
          <w:p w14:paraId="0FB2810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Adnan Assad Abed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14:paraId="4E0CDA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170" w:type="dxa"/>
            <w:vAlign w:val="center"/>
            <w:hideMark/>
          </w:tcPr>
          <w:p w14:paraId="5E22D09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160" w:type="dxa"/>
            <w:vAlign w:val="center"/>
            <w:hideMark/>
          </w:tcPr>
          <w:p w14:paraId="78A84B40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(22/749) (330)</w:t>
            </w:r>
          </w:p>
          <w:p w14:paraId="6B5BCAC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B7E861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9-11/2/2025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7FE9EAF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3days</w:t>
            </w:r>
          </w:p>
        </w:tc>
        <w:tc>
          <w:tcPr>
            <w:tcW w:w="3560" w:type="dxa"/>
            <w:vAlign w:val="center"/>
            <w:hideMark/>
          </w:tcPr>
          <w:p w14:paraId="4BE775FF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715A17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2250" w:type="dxa"/>
            <w:noWrap/>
            <w:vAlign w:val="center"/>
            <w:hideMark/>
          </w:tcPr>
          <w:p w14:paraId="09A68C1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3C5F5F6C" w14:textId="77777777" w:rsidTr="001E71F6">
        <w:trPr>
          <w:trHeight w:val="125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4B3C0F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5A2CD4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04DC96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1D8F69B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160" w:type="dxa"/>
            <w:vAlign w:val="center"/>
            <w:hideMark/>
          </w:tcPr>
          <w:p w14:paraId="21D6520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(22/762) (338)</w:t>
            </w:r>
          </w:p>
          <w:p w14:paraId="36161FF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09D490B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3AC04B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560" w:type="dxa"/>
            <w:vAlign w:val="center"/>
            <w:hideMark/>
          </w:tcPr>
          <w:p w14:paraId="7E0ABB6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250" w:type="dxa"/>
            <w:noWrap/>
            <w:vAlign w:val="center"/>
            <w:hideMark/>
          </w:tcPr>
          <w:p w14:paraId="7CC5692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27CBD394" w14:textId="77777777" w:rsidTr="001E71F6">
        <w:trPr>
          <w:trHeight w:val="116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31DC87E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74558DD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112E64E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14:paraId="3BE244B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160" w:type="dxa"/>
            <w:vAlign w:val="center"/>
            <w:hideMark/>
          </w:tcPr>
          <w:p w14:paraId="7272126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(22/691) (301)</w:t>
            </w:r>
          </w:p>
          <w:p w14:paraId="1D395DBA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CCD6DB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2FF76B8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560" w:type="dxa"/>
            <w:vAlign w:val="center"/>
            <w:hideMark/>
          </w:tcPr>
          <w:p w14:paraId="41E44C7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a meeting with the Central Banking System Project Management Team</w:t>
            </w:r>
          </w:p>
        </w:tc>
        <w:tc>
          <w:tcPr>
            <w:tcW w:w="2250" w:type="dxa"/>
            <w:noWrap/>
            <w:vAlign w:val="center"/>
            <w:hideMark/>
          </w:tcPr>
          <w:p w14:paraId="6E5757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30% of all cost</w:t>
            </w:r>
          </w:p>
        </w:tc>
      </w:tr>
      <w:tr w:rsidR="00077D76" w:rsidRPr="0090713F" w14:paraId="39272D0B" w14:textId="77777777" w:rsidTr="001E71F6">
        <w:trPr>
          <w:trHeight w:val="1250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5180AA1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500AC9B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48EA422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5DF7F07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2160" w:type="dxa"/>
            <w:vAlign w:val="center"/>
            <w:hideMark/>
          </w:tcPr>
          <w:p w14:paraId="0BD0BE1B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(22/7902) (3202)</w:t>
            </w:r>
          </w:p>
          <w:p w14:paraId="6219C01D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15/12/2024</w:t>
            </w:r>
          </w:p>
        </w:tc>
        <w:tc>
          <w:tcPr>
            <w:tcW w:w="1620" w:type="dxa"/>
            <w:noWrap/>
            <w:vAlign w:val="center"/>
            <w:hideMark/>
          </w:tcPr>
          <w:p w14:paraId="10EBFC1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17-21/2/2025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4833CD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560" w:type="dxa"/>
            <w:vAlign w:val="center"/>
            <w:hideMark/>
          </w:tcPr>
          <w:p w14:paraId="0668800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Central Bank Payments Conference</w:t>
            </w:r>
          </w:p>
        </w:tc>
        <w:tc>
          <w:tcPr>
            <w:tcW w:w="2250" w:type="dxa"/>
            <w:noWrap/>
            <w:vAlign w:val="center"/>
            <w:hideMark/>
          </w:tcPr>
          <w:p w14:paraId="7204B1D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19C8812D" w14:textId="77777777" w:rsidTr="001E71F6">
        <w:trPr>
          <w:trHeight w:val="1485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2EF7D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1" w:type="dxa"/>
            <w:noWrap/>
            <w:vAlign w:val="center"/>
            <w:hideMark/>
          </w:tcPr>
          <w:p w14:paraId="7438279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Dr.Sameer</w:t>
            </w:r>
            <w:proofErr w:type="spellEnd"/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Fakhri Niemah</w:t>
            </w:r>
          </w:p>
        </w:tc>
        <w:tc>
          <w:tcPr>
            <w:tcW w:w="1440" w:type="dxa"/>
            <w:noWrap/>
            <w:vAlign w:val="center"/>
            <w:hideMark/>
          </w:tcPr>
          <w:p w14:paraId="2952E92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170" w:type="dxa"/>
            <w:vAlign w:val="center"/>
            <w:hideMark/>
          </w:tcPr>
          <w:p w14:paraId="6CC834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160" w:type="dxa"/>
            <w:noWrap/>
            <w:vAlign w:val="center"/>
            <w:hideMark/>
          </w:tcPr>
          <w:p w14:paraId="579E3A98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(22/8395) (3340)</w:t>
            </w:r>
          </w:p>
          <w:p w14:paraId="6C3AB3F4" w14:textId="77777777" w:rsidR="00AC323D" w:rsidRPr="00AC323D" w:rsidRDefault="00F9319F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30/12/2024</w:t>
            </w:r>
          </w:p>
        </w:tc>
        <w:tc>
          <w:tcPr>
            <w:tcW w:w="1620" w:type="dxa"/>
            <w:noWrap/>
            <w:vAlign w:val="center"/>
            <w:hideMark/>
          </w:tcPr>
          <w:p w14:paraId="23169692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349B2D7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560" w:type="dxa"/>
            <w:vAlign w:val="center"/>
            <w:hideMark/>
          </w:tcPr>
          <w:p w14:paraId="402CF51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Ninth Arab Public Finance Forum</w:t>
            </w:r>
          </w:p>
        </w:tc>
        <w:tc>
          <w:tcPr>
            <w:tcW w:w="2250" w:type="dxa"/>
            <w:noWrap/>
            <w:vAlign w:val="center"/>
            <w:hideMark/>
          </w:tcPr>
          <w:p w14:paraId="17C2732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5B99199C" w14:textId="77777777" w:rsidTr="001E71F6">
        <w:trPr>
          <w:trHeight w:val="1457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3C10654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1" w:type="dxa"/>
            <w:noWrap/>
            <w:vAlign w:val="center"/>
            <w:hideMark/>
          </w:tcPr>
          <w:p w14:paraId="5C0B1F8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EMAD </w:t>
            </w:r>
            <w:proofErr w:type="spell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abdulhussein</w:t>
            </w:r>
            <w:proofErr w:type="spell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Jayad</w:t>
            </w:r>
          </w:p>
        </w:tc>
        <w:tc>
          <w:tcPr>
            <w:tcW w:w="1440" w:type="dxa"/>
            <w:noWrap/>
            <w:vAlign w:val="center"/>
            <w:hideMark/>
          </w:tcPr>
          <w:p w14:paraId="31C54EB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170" w:type="dxa"/>
            <w:vAlign w:val="center"/>
            <w:hideMark/>
          </w:tcPr>
          <w:p w14:paraId="796A9A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160" w:type="dxa"/>
            <w:vAlign w:val="center"/>
            <w:hideMark/>
          </w:tcPr>
          <w:p w14:paraId="09B7F0A9" w14:textId="77777777" w:rsidR="00203C56" w:rsidRDefault="00203C56" w:rsidP="00203C5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(22/1547) (653)</w:t>
            </w:r>
          </w:p>
          <w:p w14:paraId="70984A59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27/2/2025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1D693910" w14:textId="77777777" w:rsidR="00AC323D" w:rsidRPr="00AC323D" w:rsidRDefault="00F9319F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68BED0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560" w:type="dxa"/>
            <w:vAlign w:val="center"/>
            <w:hideMark/>
          </w:tcPr>
          <w:p w14:paraId="7B58BA6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250" w:type="dxa"/>
            <w:noWrap/>
            <w:vAlign w:val="center"/>
            <w:hideMark/>
          </w:tcPr>
          <w:p w14:paraId="15F4637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0C612D47" w14:textId="77777777" w:rsidTr="001E71F6">
        <w:trPr>
          <w:trHeight w:val="1223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1B784A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1" w:type="dxa"/>
            <w:vMerge w:val="restart"/>
            <w:noWrap/>
            <w:vAlign w:val="center"/>
            <w:hideMark/>
          </w:tcPr>
          <w:p w14:paraId="70DA0E6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</w:t>
            </w:r>
            <w:r w:rsidR="00353C64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Shaimaa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Abbas </w:t>
            </w:r>
            <w:proofErr w:type="spell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hwerif</w:t>
            </w:r>
            <w:proofErr w:type="spellEnd"/>
          </w:p>
        </w:tc>
        <w:tc>
          <w:tcPr>
            <w:tcW w:w="1440" w:type="dxa"/>
            <w:vMerge w:val="restart"/>
            <w:noWrap/>
            <w:vAlign w:val="center"/>
            <w:hideMark/>
          </w:tcPr>
          <w:p w14:paraId="7867A29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170" w:type="dxa"/>
            <w:vAlign w:val="center"/>
            <w:hideMark/>
          </w:tcPr>
          <w:p w14:paraId="3AD664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160" w:type="dxa"/>
            <w:vAlign w:val="center"/>
            <w:hideMark/>
          </w:tcPr>
          <w:p w14:paraId="4DDBAD37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(22/748) (329)</w:t>
            </w:r>
          </w:p>
          <w:p w14:paraId="7F9101D3" w14:textId="77777777" w:rsidR="00AC323D" w:rsidRPr="00AC323D" w:rsidRDefault="00AC323D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D2672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78FFFC9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300" w:type="dxa"/>
            <w:noWrap/>
            <w:vAlign w:val="center"/>
            <w:hideMark/>
          </w:tcPr>
          <w:p w14:paraId="0F8A91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560" w:type="dxa"/>
            <w:vAlign w:val="center"/>
            <w:hideMark/>
          </w:tcPr>
          <w:p w14:paraId="51E9FDA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4D2672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Treasure</w:t>
            </w:r>
          </w:p>
        </w:tc>
        <w:tc>
          <w:tcPr>
            <w:tcW w:w="2250" w:type="dxa"/>
            <w:noWrap/>
            <w:vAlign w:val="center"/>
            <w:hideMark/>
          </w:tcPr>
          <w:p w14:paraId="18B5AAA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03B9DDE1" w14:textId="77777777" w:rsidTr="001E71F6">
        <w:trPr>
          <w:trHeight w:val="1412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0712B7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74122C7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78402FA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14:paraId="5171583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160" w:type="dxa"/>
            <w:vAlign w:val="center"/>
            <w:hideMark/>
          </w:tcPr>
          <w:p w14:paraId="0451E62A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(22/273) (120)</w:t>
            </w:r>
          </w:p>
          <w:p w14:paraId="54F784DD" w14:textId="77777777" w:rsidR="00AC323D" w:rsidRPr="00AC323D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6B107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21-22/1/2025</w:t>
            </w:r>
          </w:p>
        </w:tc>
        <w:tc>
          <w:tcPr>
            <w:tcW w:w="1300" w:type="dxa"/>
            <w:noWrap/>
            <w:vAlign w:val="center"/>
            <w:hideMark/>
          </w:tcPr>
          <w:p w14:paraId="407B69F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560" w:type="dxa"/>
            <w:vAlign w:val="center"/>
            <w:hideMark/>
          </w:tcPr>
          <w:p w14:paraId="599CF5F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Strategic Forum on Environmental, Social and Corporate Governance Standards and Sustainable Finance</w:t>
            </w:r>
          </w:p>
        </w:tc>
        <w:tc>
          <w:tcPr>
            <w:tcW w:w="2250" w:type="dxa"/>
            <w:noWrap/>
            <w:vAlign w:val="center"/>
            <w:hideMark/>
          </w:tcPr>
          <w:p w14:paraId="7595826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</w:tbl>
    <w:p w14:paraId="0C81B677" w14:textId="77777777" w:rsidR="00603CB8" w:rsidRDefault="00603CB8" w:rsidP="00603CB8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741AFC5" w14:textId="77777777" w:rsidR="00603CB8" w:rsidRDefault="00603CB8" w:rsidP="00077D76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375A0CE7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93D5DB2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BDA2FA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0F79D290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001594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127B834B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741F685A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7A9B1A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070C01A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14605317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W w:w="1629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30"/>
        <w:gridCol w:w="2610"/>
        <w:gridCol w:w="1980"/>
        <w:gridCol w:w="1170"/>
        <w:gridCol w:w="2160"/>
        <w:gridCol w:w="1620"/>
        <w:gridCol w:w="1260"/>
        <w:gridCol w:w="2610"/>
        <w:gridCol w:w="2250"/>
      </w:tblGrid>
      <w:tr w:rsidR="0050024C" w:rsidRPr="0050024C" w14:paraId="361C941D" w14:textId="77777777" w:rsidTr="001E71F6">
        <w:trPr>
          <w:trHeight w:val="420"/>
        </w:trPr>
        <w:tc>
          <w:tcPr>
            <w:tcW w:w="1629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40B88" w14:textId="7F28911D" w:rsid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25613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Official Delegations as</w:t>
            </w:r>
            <w:r w:rsidRPr="0050024C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of May &amp; June 2025</w:t>
            </w:r>
          </w:p>
          <w:p w14:paraId="3F62CCAA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</w:p>
          <w:p w14:paraId="45E9D1A5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03C2F" w:rsidRPr="0050024C" w14:paraId="59DB2E6F" w14:textId="77777777" w:rsidTr="001E71F6">
        <w:trPr>
          <w:trHeight w:val="1025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16AE8F7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No.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D7809B1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Name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118D3D3" w14:textId="7119B590" w:rsidR="0050024C" w:rsidRPr="0050024C" w:rsidRDefault="002F3802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F</w:t>
            </w:r>
            <w:r w:rsidR="0050024C"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unctional </w:t>
            </w:r>
            <w:r w:rsidR="00A03C2F"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address</w:t>
            </w:r>
            <w:r w:rsidR="0050024C"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08302B8" w14:textId="204E3906" w:rsidR="0050024C" w:rsidRPr="0050024C" w:rsidRDefault="00A03C2F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2259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D0C281C" w14:textId="2E79CC2A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number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&amp; date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6B824A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Execution date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5723759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Duration  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9C2270D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subject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860EFC6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Delegation costs</w:t>
            </w:r>
          </w:p>
        </w:tc>
      </w:tr>
      <w:tr w:rsidR="00A03C2F" w:rsidRPr="0050024C" w14:paraId="7082423D" w14:textId="77777777" w:rsidTr="001E71F6">
        <w:trPr>
          <w:trHeight w:val="1367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891384F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629FC54" w14:textId="0E891F96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Dr.</w:t>
            </w:r>
            <w:r w:rsidR="00A03C2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Ammar Hamad Khalaf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3C1DCE3" w14:textId="623B0DB1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deputy </w:t>
            </w:r>
            <w:r w:rsidR="00A03C2F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43B70D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D2253F" w14:textId="0DB2E11C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2337/ 22/3696 29/5/2025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FEBAC38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20-22/5/2025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F3A9B04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9A48B" w14:textId="046CF746" w:rsidR="000A6BEA" w:rsidRPr="0050024C" w:rsidRDefault="00B55E7B" w:rsidP="000A6BE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0A6BEA" w:rsidRPr="000A6BEA">
              <w:rPr>
                <w:rFonts w:eastAsia="Times New Roman" w:cstheme="minorHAnsi"/>
                <w:color w:val="000000"/>
                <w:sz w:val="24"/>
                <w:szCs w:val="24"/>
              </w:rPr>
              <w:t>Annual Meetings of the Governors of the Islamic Development Bank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80A5C42" w14:textId="5C3F1BBB" w:rsidR="0050024C" w:rsidRPr="0050024C" w:rsidRDefault="00B55E7B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Without external transfer</w:t>
            </w:r>
            <w:r w:rsidR="0050024C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03C2F" w:rsidRPr="0050024C" w14:paraId="2C5CAD06" w14:textId="77777777" w:rsidTr="001E71F6">
        <w:trPr>
          <w:trHeight w:val="107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0341E70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A808753" w14:textId="0D96E508" w:rsidR="0050024C" w:rsidRPr="0050024C" w:rsidRDefault="00A03C2F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Mr. Adnan</w:t>
            </w:r>
            <w:r w:rsidR="0050024C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Assad</w:t>
            </w:r>
            <w:r w:rsidR="0050024C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abed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FD476C9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4DDCBC6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E7B124" w14:textId="77777777" w:rsid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2079/22/3030</w:t>
            </w:r>
          </w:p>
          <w:p w14:paraId="4BDF1ABC" w14:textId="2272B0A9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4/5/2025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91173CA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12-13/5/2025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D93EFE3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  <w:lang w:bidi="ar-IQ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 days  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F66B9B1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Dubai FinTech Summit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EEC086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  <w:tr w:rsidR="00A03C2F" w:rsidRPr="0050024C" w14:paraId="7553D72F" w14:textId="77777777" w:rsidTr="001E71F6">
        <w:trPr>
          <w:trHeight w:val="107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A667892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82C7E7C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Shaima Abbas </w:t>
            </w:r>
            <w:proofErr w:type="spellStart"/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hwerif</w:t>
            </w:r>
            <w:proofErr w:type="spellEnd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FD4837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8C858C6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F09A7" w14:textId="77777777" w:rsid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2370/22/3787</w:t>
            </w:r>
          </w:p>
          <w:p w14:paraId="290261E6" w14:textId="24F013CB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2/6/2025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727059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16-18/6/2025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04CDE39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F60D05" w14:textId="066D9F86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meeting </w:t>
            </w:r>
            <w:r w:rsidR="00A03C2F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with </w:t>
            </w:r>
            <w:r w:rsidR="008C37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company team </w:t>
            </w:r>
            <w:r w:rsidR="00A03C2F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Oliver </w:t>
            </w:r>
            <w:r w:rsidR="00A03C2F"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Wyman)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D5E4A44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</w:tbl>
    <w:p w14:paraId="5F259C6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sectPr w:rsidR="0050024C" w:rsidSect="006A1D2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1D82" w14:textId="77777777" w:rsidR="00991743" w:rsidRDefault="00991743" w:rsidP="00C03C9F">
      <w:pPr>
        <w:spacing w:after="0" w:line="240" w:lineRule="auto"/>
      </w:pPr>
      <w:r>
        <w:separator/>
      </w:r>
    </w:p>
  </w:endnote>
  <w:endnote w:type="continuationSeparator" w:id="0">
    <w:p w14:paraId="3158BB50" w14:textId="77777777" w:rsidR="00991743" w:rsidRDefault="00991743" w:rsidP="00C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34ED" w14:textId="77777777" w:rsidR="00991743" w:rsidRDefault="00991743" w:rsidP="00C03C9F">
      <w:pPr>
        <w:spacing w:after="0" w:line="240" w:lineRule="auto"/>
      </w:pPr>
      <w:r>
        <w:separator/>
      </w:r>
    </w:p>
  </w:footnote>
  <w:footnote w:type="continuationSeparator" w:id="0">
    <w:p w14:paraId="69D0D3A3" w14:textId="77777777" w:rsidR="00991743" w:rsidRDefault="00991743" w:rsidP="00C0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2"/>
    <w:rsid w:val="00001C81"/>
    <w:rsid w:val="000020EB"/>
    <w:rsid w:val="00005290"/>
    <w:rsid w:val="00014065"/>
    <w:rsid w:val="000165D1"/>
    <w:rsid w:val="00021BD4"/>
    <w:rsid w:val="00021F63"/>
    <w:rsid w:val="000242CA"/>
    <w:rsid w:val="00025B41"/>
    <w:rsid w:val="00026DB7"/>
    <w:rsid w:val="00034DC6"/>
    <w:rsid w:val="00035129"/>
    <w:rsid w:val="00041911"/>
    <w:rsid w:val="00046062"/>
    <w:rsid w:val="00055652"/>
    <w:rsid w:val="00057E4D"/>
    <w:rsid w:val="0006074D"/>
    <w:rsid w:val="000619AF"/>
    <w:rsid w:val="00063DEA"/>
    <w:rsid w:val="00067B22"/>
    <w:rsid w:val="00070F59"/>
    <w:rsid w:val="00074730"/>
    <w:rsid w:val="00077D76"/>
    <w:rsid w:val="00077DDF"/>
    <w:rsid w:val="00081981"/>
    <w:rsid w:val="00084E8C"/>
    <w:rsid w:val="00085BA9"/>
    <w:rsid w:val="00090B8D"/>
    <w:rsid w:val="00092BC9"/>
    <w:rsid w:val="000955A9"/>
    <w:rsid w:val="00097321"/>
    <w:rsid w:val="000A4B77"/>
    <w:rsid w:val="000A6BEA"/>
    <w:rsid w:val="000B3A91"/>
    <w:rsid w:val="000C172E"/>
    <w:rsid w:val="000D2E46"/>
    <w:rsid w:val="000D4EBB"/>
    <w:rsid w:val="000E2930"/>
    <w:rsid w:val="000E40DF"/>
    <w:rsid w:val="000F0088"/>
    <w:rsid w:val="000F5684"/>
    <w:rsid w:val="00101F14"/>
    <w:rsid w:val="00102BE7"/>
    <w:rsid w:val="001034C8"/>
    <w:rsid w:val="00111884"/>
    <w:rsid w:val="00112B21"/>
    <w:rsid w:val="001133D8"/>
    <w:rsid w:val="00114809"/>
    <w:rsid w:val="001247D7"/>
    <w:rsid w:val="001301F4"/>
    <w:rsid w:val="00134B8A"/>
    <w:rsid w:val="001358D0"/>
    <w:rsid w:val="00147E49"/>
    <w:rsid w:val="00151C35"/>
    <w:rsid w:val="001612C7"/>
    <w:rsid w:val="001663D7"/>
    <w:rsid w:val="001669EB"/>
    <w:rsid w:val="001724B4"/>
    <w:rsid w:val="00177633"/>
    <w:rsid w:val="0019442D"/>
    <w:rsid w:val="00196F59"/>
    <w:rsid w:val="001B05E6"/>
    <w:rsid w:val="001B1700"/>
    <w:rsid w:val="001B361A"/>
    <w:rsid w:val="001B4EE5"/>
    <w:rsid w:val="001B51BE"/>
    <w:rsid w:val="001B5350"/>
    <w:rsid w:val="001B5B40"/>
    <w:rsid w:val="001C2CED"/>
    <w:rsid w:val="001C6309"/>
    <w:rsid w:val="001D1D80"/>
    <w:rsid w:val="001D3332"/>
    <w:rsid w:val="001D418C"/>
    <w:rsid w:val="001E06A1"/>
    <w:rsid w:val="001E493D"/>
    <w:rsid w:val="001E71F6"/>
    <w:rsid w:val="001F72D4"/>
    <w:rsid w:val="00203C56"/>
    <w:rsid w:val="00207E78"/>
    <w:rsid w:val="00207E9F"/>
    <w:rsid w:val="002169D6"/>
    <w:rsid w:val="002172F6"/>
    <w:rsid w:val="0022272C"/>
    <w:rsid w:val="00223A4A"/>
    <w:rsid w:val="002240AD"/>
    <w:rsid w:val="00225901"/>
    <w:rsid w:val="00230F1C"/>
    <w:rsid w:val="00245693"/>
    <w:rsid w:val="00246186"/>
    <w:rsid w:val="002536CD"/>
    <w:rsid w:val="00254F71"/>
    <w:rsid w:val="00256136"/>
    <w:rsid w:val="00257914"/>
    <w:rsid w:val="002732E6"/>
    <w:rsid w:val="00281D9F"/>
    <w:rsid w:val="002845E9"/>
    <w:rsid w:val="00285AC6"/>
    <w:rsid w:val="002B1964"/>
    <w:rsid w:val="002B1E19"/>
    <w:rsid w:val="002B3FEB"/>
    <w:rsid w:val="002B53EF"/>
    <w:rsid w:val="002B72EB"/>
    <w:rsid w:val="002C12CA"/>
    <w:rsid w:val="002C48B6"/>
    <w:rsid w:val="002C7A90"/>
    <w:rsid w:val="002D0DFD"/>
    <w:rsid w:val="002D1603"/>
    <w:rsid w:val="002D42E3"/>
    <w:rsid w:val="002E11D2"/>
    <w:rsid w:val="002E29C0"/>
    <w:rsid w:val="002F22C7"/>
    <w:rsid w:val="002F23F4"/>
    <w:rsid w:val="002F3802"/>
    <w:rsid w:val="002F5530"/>
    <w:rsid w:val="002F59D2"/>
    <w:rsid w:val="002F6BDB"/>
    <w:rsid w:val="002F74BB"/>
    <w:rsid w:val="00322D5F"/>
    <w:rsid w:val="00334CE1"/>
    <w:rsid w:val="00336BF4"/>
    <w:rsid w:val="00337A61"/>
    <w:rsid w:val="00350361"/>
    <w:rsid w:val="00353C64"/>
    <w:rsid w:val="0035413F"/>
    <w:rsid w:val="00355FF8"/>
    <w:rsid w:val="00363451"/>
    <w:rsid w:val="003702CF"/>
    <w:rsid w:val="003711DE"/>
    <w:rsid w:val="003722A9"/>
    <w:rsid w:val="003734A8"/>
    <w:rsid w:val="00381EA5"/>
    <w:rsid w:val="003844A5"/>
    <w:rsid w:val="00387817"/>
    <w:rsid w:val="003907CC"/>
    <w:rsid w:val="0039698F"/>
    <w:rsid w:val="003A1810"/>
    <w:rsid w:val="003A30C7"/>
    <w:rsid w:val="003B231D"/>
    <w:rsid w:val="003B4E17"/>
    <w:rsid w:val="003C6799"/>
    <w:rsid w:val="003D230C"/>
    <w:rsid w:val="003D47D3"/>
    <w:rsid w:val="003D6B8C"/>
    <w:rsid w:val="003E017B"/>
    <w:rsid w:val="003F1B71"/>
    <w:rsid w:val="003F5C50"/>
    <w:rsid w:val="003F6B4A"/>
    <w:rsid w:val="00406DE1"/>
    <w:rsid w:val="004103DA"/>
    <w:rsid w:val="00410614"/>
    <w:rsid w:val="00414C8A"/>
    <w:rsid w:val="0041525C"/>
    <w:rsid w:val="00437CB6"/>
    <w:rsid w:val="004458DD"/>
    <w:rsid w:val="00446971"/>
    <w:rsid w:val="004542EC"/>
    <w:rsid w:val="00460069"/>
    <w:rsid w:val="00460AE6"/>
    <w:rsid w:val="00461832"/>
    <w:rsid w:val="00470510"/>
    <w:rsid w:val="00475FB2"/>
    <w:rsid w:val="00480A9D"/>
    <w:rsid w:val="0049082E"/>
    <w:rsid w:val="0049748F"/>
    <w:rsid w:val="004B669E"/>
    <w:rsid w:val="004B794C"/>
    <w:rsid w:val="004C35A4"/>
    <w:rsid w:val="004C41F7"/>
    <w:rsid w:val="004C6311"/>
    <w:rsid w:val="004D2672"/>
    <w:rsid w:val="004D4B93"/>
    <w:rsid w:val="004D4BC9"/>
    <w:rsid w:val="004D7C7D"/>
    <w:rsid w:val="004E389D"/>
    <w:rsid w:val="004F212E"/>
    <w:rsid w:val="004F5D4F"/>
    <w:rsid w:val="0050024C"/>
    <w:rsid w:val="00503627"/>
    <w:rsid w:val="005036C8"/>
    <w:rsid w:val="005066D8"/>
    <w:rsid w:val="00511B9F"/>
    <w:rsid w:val="00515112"/>
    <w:rsid w:val="00516785"/>
    <w:rsid w:val="00526B2B"/>
    <w:rsid w:val="00530B14"/>
    <w:rsid w:val="00532DA9"/>
    <w:rsid w:val="00534EF3"/>
    <w:rsid w:val="00544158"/>
    <w:rsid w:val="00566B24"/>
    <w:rsid w:val="00577145"/>
    <w:rsid w:val="00594B52"/>
    <w:rsid w:val="005A1422"/>
    <w:rsid w:val="005A1862"/>
    <w:rsid w:val="005A27F2"/>
    <w:rsid w:val="005A4EFF"/>
    <w:rsid w:val="005A6AEE"/>
    <w:rsid w:val="005B000B"/>
    <w:rsid w:val="005C6A72"/>
    <w:rsid w:val="005D44B4"/>
    <w:rsid w:val="005D68D6"/>
    <w:rsid w:val="005D69BB"/>
    <w:rsid w:val="005D7190"/>
    <w:rsid w:val="005E14E6"/>
    <w:rsid w:val="005E19BB"/>
    <w:rsid w:val="00600AD8"/>
    <w:rsid w:val="00601866"/>
    <w:rsid w:val="00603CB8"/>
    <w:rsid w:val="00610CF1"/>
    <w:rsid w:val="00616895"/>
    <w:rsid w:val="00621F76"/>
    <w:rsid w:val="0062405B"/>
    <w:rsid w:val="00626043"/>
    <w:rsid w:val="0063079E"/>
    <w:rsid w:val="006318FE"/>
    <w:rsid w:val="00640F94"/>
    <w:rsid w:val="00645DAD"/>
    <w:rsid w:val="006477BF"/>
    <w:rsid w:val="00655267"/>
    <w:rsid w:val="00664CDA"/>
    <w:rsid w:val="0067750F"/>
    <w:rsid w:val="00681CF2"/>
    <w:rsid w:val="00682427"/>
    <w:rsid w:val="00683093"/>
    <w:rsid w:val="00683F51"/>
    <w:rsid w:val="006847F1"/>
    <w:rsid w:val="0068542C"/>
    <w:rsid w:val="00687AB6"/>
    <w:rsid w:val="00687C69"/>
    <w:rsid w:val="00690C12"/>
    <w:rsid w:val="006A03FA"/>
    <w:rsid w:val="006A1D2D"/>
    <w:rsid w:val="006A6C6F"/>
    <w:rsid w:val="006B151E"/>
    <w:rsid w:val="006B36C6"/>
    <w:rsid w:val="006C26CE"/>
    <w:rsid w:val="006C6780"/>
    <w:rsid w:val="006E00FB"/>
    <w:rsid w:val="006E1883"/>
    <w:rsid w:val="006F55E1"/>
    <w:rsid w:val="006F7A42"/>
    <w:rsid w:val="0070786A"/>
    <w:rsid w:val="00715A17"/>
    <w:rsid w:val="007175F2"/>
    <w:rsid w:val="00726F37"/>
    <w:rsid w:val="0073741E"/>
    <w:rsid w:val="00737C7B"/>
    <w:rsid w:val="007444D2"/>
    <w:rsid w:val="007453C6"/>
    <w:rsid w:val="007507DE"/>
    <w:rsid w:val="0075101E"/>
    <w:rsid w:val="00753286"/>
    <w:rsid w:val="00773335"/>
    <w:rsid w:val="00773FD3"/>
    <w:rsid w:val="00773FD7"/>
    <w:rsid w:val="00780152"/>
    <w:rsid w:val="00785948"/>
    <w:rsid w:val="00791877"/>
    <w:rsid w:val="007933D8"/>
    <w:rsid w:val="00793F98"/>
    <w:rsid w:val="00795239"/>
    <w:rsid w:val="0079630A"/>
    <w:rsid w:val="007A7C27"/>
    <w:rsid w:val="007B1D57"/>
    <w:rsid w:val="007B58A9"/>
    <w:rsid w:val="007B5AD6"/>
    <w:rsid w:val="007D30C6"/>
    <w:rsid w:val="007E55D4"/>
    <w:rsid w:val="007E67AC"/>
    <w:rsid w:val="007E6E13"/>
    <w:rsid w:val="007E724F"/>
    <w:rsid w:val="007F3CB1"/>
    <w:rsid w:val="007F48EE"/>
    <w:rsid w:val="0081010F"/>
    <w:rsid w:val="00815334"/>
    <w:rsid w:val="008179B0"/>
    <w:rsid w:val="00817A9C"/>
    <w:rsid w:val="008202B4"/>
    <w:rsid w:val="00821642"/>
    <w:rsid w:val="00825A0A"/>
    <w:rsid w:val="008276FD"/>
    <w:rsid w:val="00832C46"/>
    <w:rsid w:val="008362C7"/>
    <w:rsid w:val="00847276"/>
    <w:rsid w:val="00853E8B"/>
    <w:rsid w:val="008544BF"/>
    <w:rsid w:val="0086188E"/>
    <w:rsid w:val="00862332"/>
    <w:rsid w:val="00867943"/>
    <w:rsid w:val="00871EE6"/>
    <w:rsid w:val="0087271E"/>
    <w:rsid w:val="008743C7"/>
    <w:rsid w:val="00876EBF"/>
    <w:rsid w:val="008776BB"/>
    <w:rsid w:val="00880816"/>
    <w:rsid w:val="00880F08"/>
    <w:rsid w:val="00881E02"/>
    <w:rsid w:val="008847E6"/>
    <w:rsid w:val="008848FC"/>
    <w:rsid w:val="00885468"/>
    <w:rsid w:val="0088633D"/>
    <w:rsid w:val="008871E5"/>
    <w:rsid w:val="00897F7A"/>
    <w:rsid w:val="008A023E"/>
    <w:rsid w:val="008A0978"/>
    <w:rsid w:val="008A5875"/>
    <w:rsid w:val="008B0A64"/>
    <w:rsid w:val="008C2F79"/>
    <w:rsid w:val="008C3340"/>
    <w:rsid w:val="008C3733"/>
    <w:rsid w:val="008E06CB"/>
    <w:rsid w:val="008E25E3"/>
    <w:rsid w:val="008E7914"/>
    <w:rsid w:val="008F1F91"/>
    <w:rsid w:val="008F3F8C"/>
    <w:rsid w:val="0090713F"/>
    <w:rsid w:val="00927450"/>
    <w:rsid w:val="00932008"/>
    <w:rsid w:val="00942363"/>
    <w:rsid w:val="009439C4"/>
    <w:rsid w:val="0095101D"/>
    <w:rsid w:val="00953072"/>
    <w:rsid w:val="00966C55"/>
    <w:rsid w:val="0097051B"/>
    <w:rsid w:val="00971F75"/>
    <w:rsid w:val="00972D08"/>
    <w:rsid w:val="00973F61"/>
    <w:rsid w:val="00987158"/>
    <w:rsid w:val="00991743"/>
    <w:rsid w:val="00994C49"/>
    <w:rsid w:val="0099546C"/>
    <w:rsid w:val="00997E20"/>
    <w:rsid w:val="009A6D09"/>
    <w:rsid w:val="009B32FA"/>
    <w:rsid w:val="009B5FB8"/>
    <w:rsid w:val="009B667B"/>
    <w:rsid w:val="009C784E"/>
    <w:rsid w:val="009E31CE"/>
    <w:rsid w:val="009E5888"/>
    <w:rsid w:val="009F1BCE"/>
    <w:rsid w:val="009F1D01"/>
    <w:rsid w:val="009F3141"/>
    <w:rsid w:val="009F738B"/>
    <w:rsid w:val="00A0239D"/>
    <w:rsid w:val="00A03C2F"/>
    <w:rsid w:val="00A10E5A"/>
    <w:rsid w:val="00A20FA5"/>
    <w:rsid w:val="00A21AED"/>
    <w:rsid w:val="00A26311"/>
    <w:rsid w:val="00A26FEC"/>
    <w:rsid w:val="00A322DB"/>
    <w:rsid w:val="00A34605"/>
    <w:rsid w:val="00A3537B"/>
    <w:rsid w:val="00A40087"/>
    <w:rsid w:val="00A4260A"/>
    <w:rsid w:val="00A44B8D"/>
    <w:rsid w:val="00A478BA"/>
    <w:rsid w:val="00A6248B"/>
    <w:rsid w:val="00A71AF2"/>
    <w:rsid w:val="00A73124"/>
    <w:rsid w:val="00A7680C"/>
    <w:rsid w:val="00A8637E"/>
    <w:rsid w:val="00A95725"/>
    <w:rsid w:val="00AA052A"/>
    <w:rsid w:val="00AA0BAE"/>
    <w:rsid w:val="00AA54A9"/>
    <w:rsid w:val="00AC323D"/>
    <w:rsid w:val="00AC6B77"/>
    <w:rsid w:val="00AD543B"/>
    <w:rsid w:val="00AD603A"/>
    <w:rsid w:val="00AE1B4F"/>
    <w:rsid w:val="00AE369B"/>
    <w:rsid w:val="00AE77E8"/>
    <w:rsid w:val="00AF1AEC"/>
    <w:rsid w:val="00AF2172"/>
    <w:rsid w:val="00B003DB"/>
    <w:rsid w:val="00B03623"/>
    <w:rsid w:val="00B056BE"/>
    <w:rsid w:val="00B05FB3"/>
    <w:rsid w:val="00B22560"/>
    <w:rsid w:val="00B27531"/>
    <w:rsid w:val="00B279A2"/>
    <w:rsid w:val="00B32868"/>
    <w:rsid w:val="00B340ED"/>
    <w:rsid w:val="00B450ED"/>
    <w:rsid w:val="00B45783"/>
    <w:rsid w:val="00B507B4"/>
    <w:rsid w:val="00B55E7B"/>
    <w:rsid w:val="00B605D5"/>
    <w:rsid w:val="00B66CB8"/>
    <w:rsid w:val="00B7239B"/>
    <w:rsid w:val="00B81CE3"/>
    <w:rsid w:val="00B8246C"/>
    <w:rsid w:val="00B91207"/>
    <w:rsid w:val="00BA24DE"/>
    <w:rsid w:val="00BA73C9"/>
    <w:rsid w:val="00BC3214"/>
    <w:rsid w:val="00BC47F4"/>
    <w:rsid w:val="00BC56E5"/>
    <w:rsid w:val="00BD4266"/>
    <w:rsid w:val="00BD4A21"/>
    <w:rsid w:val="00BD740F"/>
    <w:rsid w:val="00BE3398"/>
    <w:rsid w:val="00BE4631"/>
    <w:rsid w:val="00BF3187"/>
    <w:rsid w:val="00BF57D6"/>
    <w:rsid w:val="00C03C9F"/>
    <w:rsid w:val="00C03EF9"/>
    <w:rsid w:val="00C063F7"/>
    <w:rsid w:val="00C0650A"/>
    <w:rsid w:val="00C06794"/>
    <w:rsid w:val="00C07077"/>
    <w:rsid w:val="00C14479"/>
    <w:rsid w:val="00C34C35"/>
    <w:rsid w:val="00C43FA8"/>
    <w:rsid w:val="00C461C1"/>
    <w:rsid w:val="00C461E8"/>
    <w:rsid w:val="00C50BC2"/>
    <w:rsid w:val="00C545DD"/>
    <w:rsid w:val="00C665BA"/>
    <w:rsid w:val="00C71F99"/>
    <w:rsid w:val="00C74A04"/>
    <w:rsid w:val="00C74ECA"/>
    <w:rsid w:val="00C96038"/>
    <w:rsid w:val="00CA134C"/>
    <w:rsid w:val="00CA507D"/>
    <w:rsid w:val="00CA61CA"/>
    <w:rsid w:val="00CB3BED"/>
    <w:rsid w:val="00CC2F4A"/>
    <w:rsid w:val="00CC5911"/>
    <w:rsid w:val="00CC6B45"/>
    <w:rsid w:val="00CD54A5"/>
    <w:rsid w:val="00CE72A7"/>
    <w:rsid w:val="00CF0065"/>
    <w:rsid w:val="00CF355D"/>
    <w:rsid w:val="00CF3C2F"/>
    <w:rsid w:val="00D0577F"/>
    <w:rsid w:val="00D10856"/>
    <w:rsid w:val="00D16366"/>
    <w:rsid w:val="00D1707C"/>
    <w:rsid w:val="00D17938"/>
    <w:rsid w:val="00D23582"/>
    <w:rsid w:val="00D252FC"/>
    <w:rsid w:val="00D258FE"/>
    <w:rsid w:val="00D31439"/>
    <w:rsid w:val="00D358D2"/>
    <w:rsid w:val="00D37A3E"/>
    <w:rsid w:val="00D41293"/>
    <w:rsid w:val="00D43E5C"/>
    <w:rsid w:val="00D458CC"/>
    <w:rsid w:val="00D53EF3"/>
    <w:rsid w:val="00D66350"/>
    <w:rsid w:val="00D72B97"/>
    <w:rsid w:val="00D750C6"/>
    <w:rsid w:val="00D75104"/>
    <w:rsid w:val="00D758B3"/>
    <w:rsid w:val="00D8010B"/>
    <w:rsid w:val="00D83A04"/>
    <w:rsid w:val="00D85E03"/>
    <w:rsid w:val="00D94D09"/>
    <w:rsid w:val="00D95579"/>
    <w:rsid w:val="00DA0340"/>
    <w:rsid w:val="00DB1D29"/>
    <w:rsid w:val="00DB2DCB"/>
    <w:rsid w:val="00DB37F6"/>
    <w:rsid w:val="00DB44EF"/>
    <w:rsid w:val="00DB5D82"/>
    <w:rsid w:val="00DB655A"/>
    <w:rsid w:val="00DB7D7B"/>
    <w:rsid w:val="00DC5D3A"/>
    <w:rsid w:val="00DC71FD"/>
    <w:rsid w:val="00DD1152"/>
    <w:rsid w:val="00DD35C0"/>
    <w:rsid w:val="00DD48F8"/>
    <w:rsid w:val="00DD6352"/>
    <w:rsid w:val="00DE54C8"/>
    <w:rsid w:val="00DF3E02"/>
    <w:rsid w:val="00DF50C1"/>
    <w:rsid w:val="00E00A08"/>
    <w:rsid w:val="00E03518"/>
    <w:rsid w:val="00E069BE"/>
    <w:rsid w:val="00E06BF3"/>
    <w:rsid w:val="00E06D5D"/>
    <w:rsid w:val="00E10307"/>
    <w:rsid w:val="00E10E44"/>
    <w:rsid w:val="00E21297"/>
    <w:rsid w:val="00E22037"/>
    <w:rsid w:val="00E22921"/>
    <w:rsid w:val="00E22EEE"/>
    <w:rsid w:val="00E30CB0"/>
    <w:rsid w:val="00E31DDF"/>
    <w:rsid w:val="00E33DC1"/>
    <w:rsid w:val="00E4366C"/>
    <w:rsid w:val="00E51235"/>
    <w:rsid w:val="00E577FF"/>
    <w:rsid w:val="00E57863"/>
    <w:rsid w:val="00E62308"/>
    <w:rsid w:val="00E63AAF"/>
    <w:rsid w:val="00E71767"/>
    <w:rsid w:val="00E77BE2"/>
    <w:rsid w:val="00E86A4E"/>
    <w:rsid w:val="00E93101"/>
    <w:rsid w:val="00EA0503"/>
    <w:rsid w:val="00EA1DF1"/>
    <w:rsid w:val="00EA3525"/>
    <w:rsid w:val="00EA62A5"/>
    <w:rsid w:val="00EB3F3C"/>
    <w:rsid w:val="00EC5823"/>
    <w:rsid w:val="00ED72ED"/>
    <w:rsid w:val="00EE1C4E"/>
    <w:rsid w:val="00EF648F"/>
    <w:rsid w:val="00F00076"/>
    <w:rsid w:val="00F06B37"/>
    <w:rsid w:val="00F076DE"/>
    <w:rsid w:val="00F1330D"/>
    <w:rsid w:val="00F16EB0"/>
    <w:rsid w:val="00F343EB"/>
    <w:rsid w:val="00F3789D"/>
    <w:rsid w:val="00F3789E"/>
    <w:rsid w:val="00F527A7"/>
    <w:rsid w:val="00F60D70"/>
    <w:rsid w:val="00F728C8"/>
    <w:rsid w:val="00F73F10"/>
    <w:rsid w:val="00F81FF4"/>
    <w:rsid w:val="00F83EC9"/>
    <w:rsid w:val="00F90B00"/>
    <w:rsid w:val="00F9319F"/>
    <w:rsid w:val="00F959A9"/>
    <w:rsid w:val="00FA2A81"/>
    <w:rsid w:val="00FA488F"/>
    <w:rsid w:val="00FC23E3"/>
    <w:rsid w:val="00FC7069"/>
    <w:rsid w:val="00FD1BE5"/>
    <w:rsid w:val="00FD6308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B9E7"/>
  <w15:docId w15:val="{56586C15-FE88-43E4-8597-183E529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1636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9F"/>
  </w:style>
  <w:style w:type="paragraph" w:styleId="Footer">
    <w:name w:val="footer"/>
    <w:basedOn w:val="Normal"/>
    <w:link w:val="Foot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9F"/>
  </w:style>
  <w:style w:type="paragraph" w:styleId="HTMLPreformatted">
    <w:name w:val="HTML Preformatted"/>
    <w:basedOn w:val="Normal"/>
    <w:link w:val="HTMLPreformattedChar"/>
    <w:uiPriority w:val="99"/>
    <w:unhideWhenUsed/>
    <w:rsid w:val="0070786A"/>
    <w:pPr>
      <w:bidi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86A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2C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63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6A7E-581D-4169-812F-84575DD7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A.. abdulhussein</dc:creator>
  <cp:lastModifiedBy>Layla  Abdulkareem Shahatha</cp:lastModifiedBy>
  <cp:revision>10</cp:revision>
  <dcterms:created xsi:type="dcterms:W3CDTF">2025-08-31T07:03:00Z</dcterms:created>
  <dcterms:modified xsi:type="dcterms:W3CDTF">2025-09-01T06:22:00Z</dcterms:modified>
</cp:coreProperties>
</file>